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9B7B" w14:textId="14F71450" w:rsidR="00ED7CE0" w:rsidRDefault="00EC425E" w:rsidP="00EC425E">
      <w:pPr>
        <w:pStyle w:val="Body"/>
        <w:jc w:val="both"/>
        <w:rPr>
          <w:rFonts w:ascii="Arial" w:eastAsia="Times New Roman" w:hAnsi="Arial" w:cs="Arial"/>
          <w:color w:val="1F1F1F"/>
          <w:sz w:val="32"/>
          <w:bdr w:val="none" w:sz="0" w:space="0" w:color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9593" wp14:editId="71706C04">
                <wp:simplePos x="0" y="0"/>
                <wp:positionH relativeFrom="column">
                  <wp:posOffset>0</wp:posOffset>
                </wp:positionH>
                <wp:positionV relativeFrom="paragraph">
                  <wp:posOffset>922020</wp:posOffset>
                </wp:positionV>
                <wp:extent cx="5270500" cy="8001000"/>
                <wp:effectExtent l="0" t="0" r="38100" b="25400"/>
                <wp:wrapSquare wrapText="bothSides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0500" cy="800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C010BA" w14:textId="77777777" w:rsidR="00971643" w:rsidRPr="007D3046" w:rsidRDefault="00971643" w:rsidP="00971643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1F1F1F"/>
                              </w:rPr>
                            </w:pP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 xml:space="preserve">Jonker L, Fisher SJ. The correlation between National Health Service trusts’ clinical trial activity and both mortality rates and care quality commission ratings: a retrospective cross-sectional study. Public health. 2018 Apr </w:t>
                            </w:r>
                            <w:proofErr w:type="gramStart"/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1;157:1</w:t>
                            </w:r>
                            <w:proofErr w:type="gramEnd"/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-6</w:t>
                            </w:r>
                          </w:p>
                          <w:p w14:paraId="584E99D1" w14:textId="77777777" w:rsidR="00971643" w:rsidRDefault="0006578C" w:rsidP="00971643">
                            <w:pPr>
                              <w:pStyle w:val="ListParagraph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971643" w:rsidRPr="007D304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https://www.ncbi.nlm.nih.gov/pubmed/29438805</w:t>
                              </w:r>
                            </w:hyperlink>
                            <w:r w:rsidR="00971643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\</w:t>
                            </w:r>
                          </w:p>
                          <w:p w14:paraId="23127CA8" w14:textId="77777777" w:rsidR="00971643" w:rsidRPr="007D3046" w:rsidRDefault="00971643" w:rsidP="00971643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Downing A, Morris EJ, Corrigan N et al. High hospital research participation and improved colorectal cancer survival outcomes: a population-based study. 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1F1F"/>
                                <w:bdr w:val="none" w:sz="0" w:space="0" w:color="auto" w:frame="1"/>
                              </w:rPr>
                              <w:t>Gut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, 2017;66:89-96.</w:t>
                            </w:r>
                          </w:p>
                          <w:p w14:paraId="17450F34" w14:textId="77777777" w:rsidR="00971643" w:rsidRPr="007D3046" w:rsidRDefault="0006578C" w:rsidP="0097164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971643" w:rsidRPr="007D304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https://www.ncbi.nlm.nih.gov/pubmed/27797935</w:t>
                              </w:r>
                            </w:hyperlink>
                          </w:p>
                          <w:p w14:paraId="3E1C18F8" w14:textId="77777777" w:rsidR="00BB22BA" w:rsidRPr="007D3046" w:rsidRDefault="00BB22BA" w:rsidP="00CC22CC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Ozdemir</w:t>
                            </w:r>
                            <w:proofErr w:type="spellEnd"/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 xml:space="preserve"> BA, </w:t>
                            </w:r>
                            <w:proofErr w:type="spellStart"/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Karthikesalingam</w:t>
                            </w:r>
                            <w:proofErr w:type="spellEnd"/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 xml:space="preserve"> A, Sinha S, et al. Research activity and the association with mortality. </w:t>
                            </w:r>
                            <w:proofErr w:type="spellStart"/>
                            <w:r w:rsidRPr="007D304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1F1F"/>
                                <w:bdr w:val="none" w:sz="0" w:space="0" w:color="auto" w:frame="1"/>
                              </w:rPr>
                              <w:t>PLoS</w:t>
                            </w:r>
                            <w:proofErr w:type="spellEnd"/>
                            <w:r w:rsidRPr="007D304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1F1F"/>
                                <w:bdr w:val="none" w:sz="0" w:space="0" w:color="auto" w:frame="1"/>
                              </w:rPr>
                              <w:t xml:space="preserve"> One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, 2015;10:</w:t>
                            </w:r>
                          </w:p>
                          <w:p w14:paraId="56F6A4B4" w14:textId="77777777" w:rsidR="00BB22BA" w:rsidRPr="007D3046" w:rsidRDefault="0006578C" w:rsidP="00CC22C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BB22BA" w:rsidRPr="007D304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https://www.ncbi.nlm.nih.gov/pubmed/25719608</w:t>
                              </w:r>
                            </w:hyperlink>
                          </w:p>
                          <w:p w14:paraId="7C72996D" w14:textId="79C298E2" w:rsidR="00EC425E" w:rsidRPr="00EC425E" w:rsidRDefault="00BB22BA" w:rsidP="00EC425E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 xml:space="preserve">Boaz A, </w:t>
                            </w:r>
                            <w:proofErr w:type="spellStart"/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Hanney</w:t>
                            </w:r>
                            <w:proofErr w:type="spellEnd"/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 xml:space="preserve"> S, Jones T, &amp; Soper B. Does the engagement of clinicians and organisations in research improve healthcare performance: a three-stage review. 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1F1F"/>
                                <w:bdr w:val="none" w:sz="0" w:space="0" w:color="auto" w:frame="1"/>
                              </w:rPr>
                              <w:t>BMJ open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, 2015; 5:e009415.</w:t>
                            </w:r>
                            <w:r w:rsidRPr="007D30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0" w:history="1">
                              <w:r w:rsidRPr="007D304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https://www.ncbi.nlm.nih.gov/pubmed/26656023</w:t>
                              </w:r>
                            </w:hyperlink>
                          </w:p>
                          <w:p w14:paraId="108A6C28" w14:textId="77777777" w:rsidR="00971643" w:rsidRPr="00971643" w:rsidRDefault="00EC425E" w:rsidP="00971643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Jonker L, Fisher SJ. NHS Trusts’ clinical research activity and overall CQC performance–Is there a correlation? 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1F1F"/>
                                <w:bdr w:val="none" w:sz="0" w:space="0" w:color="auto" w:frame="1"/>
                              </w:rPr>
                              <w:t>Public health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 xml:space="preserve">, 2015; 129:1491-5. </w:t>
                            </w:r>
                            <w:hyperlink r:id="rId11" w:history="1">
                              <w:r w:rsidRPr="00BB22BA">
                                <w:rPr>
                                  <w:rStyle w:val="Hyperlink"/>
                                  <w:rFonts w:ascii="Arial" w:eastAsia="Times New Roman" w:hAnsi="Arial" w:cs="Arial"/>
                                </w:rPr>
                                <w:t>https://www.publichealthjrnl.com/article/S0033-3506(15)00286-3/fulltext</w:t>
                              </w:r>
                            </w:hyperlink>
                            <w:r w:rsidR="00971643" w:rsidRPr="00971643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 xml:space="preserve"> </w:t>
                            </w:r>
                          </w:p>
                          <w:p w14:paraId="3A2B9FBE" w14:textId="77777777" w:rsidR="00971643" w:rsidRPr="00971643" w:rsidRDefault="00971643" w:rsidP="00971643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Bennett WO, Bird JH, Burrows SA, Counter PR, &amp; Reddy VM. Does academic output correlate with better mortality rates in NHS trusts in England? 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1F1F"/>
                                <w:bdr w:val="none" w:sz="0" w:space="0" w:color="auto" w:frame="1"/>
                              </w:rPr>
                              <w:t>Public Health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, 2012;</w:t>
                            </w:r>
                            <w:proofErr w:type="gramStart"/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126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1F1F"/>
                                <w:bdr w:val="none" w:sz="0" w:space="0" w:color="auto" w:frame="1"/>
                              </w:rPr>
                              <w:t>: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S</w:t>
                            </w:r>
                            <w:proofErr w:type="gramEnd"/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40-3.</w:t>
                            </w:r>
                            <w:r w:rsidRPr="00971643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 xml:space="preserve"> </w:t>
                            </w:r>
                          </w:p>
                          <w:p w14:paraId="38D80EC2" w14:textId="04B514D6" w:rsidR="00EC425E" w:rsidRPr="00971643" w:rsidRDefault="00971643" w:rsidP="00971643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Clarke, M., &amp; Loudon, K. (2011). Effects on patients of their healthcare practitioner’s or institution’s participation in clinical trials: a systematic review. 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1F1F1F"/>
                                <w:bdr w:val="none" w:sz="0" w:space="0" w:color="auto" w:frame="1"/>
                              </w:rPr>
                              <w:t>Trials</w:t>
                            </w:r>
                            <w:r w:rsidRPr="007D3046">
                              <w:rPr>
                                <w:rFonts w:ascii="Arial" w:eastAsia="Times New Roman" w:hAnsi="Arial" w:cs="Arial"/>
                                <w:color w:val="1F1F1F"/>
                                <w:bdr w:val="none" w:sz="0" w:space="0" w:color="auto"/>
                              </w:rPr>
                              <w:t>, 12(1), 16.</w:t>
                            </w:r>
                          </w:p>
                          <w:p w14:paraId="30748C49" w14:textId="77777777" w:rsidR="00EC425E" w:rsidRDefault="00EC425E" w:rsidP="00EC425E">
                            <w:pPr>
                              <w:pStyle w:val="Body"/>
                              <w:rPr>
                                <w:rFonts w:ascii="Arial" w:eastAsia="Times New Roman" w:hAnsi="Arial" w:cs="Arial"/>
                                <w:color w:val="1F1F1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F1F1F"/>
                              </w:rPr>
                              <w:t>Also of interest: NIHR Portfolio activity: Is it having a positive wider impact on a NHS Trust’s performance? BLOG. Jonker, L and Fisher SJ, March 2018</w:t>
                            </w:r>
                          </w:p>
                          <w:p w14:paraId="53CE39D5" w14:textId="02368E9C" w:rsidR="00EC425E" w:rsidRPr="00EC425E" w:rsidRDefault="0006578C" w:rsidP="00EC425E">
                            <w:pPr>
                              <w:pStyle w:val="Body"/>
                              <w:rPr>
                                <w:rFonts w:ascii="Arial" w:eastAsia="Times New Roman" w:hAnsi="Arial" w:cs="Arial"/>
                                <w:color w:val="1F1F1F"/>
                              </w:rPr>
                            </w:pPr>
                            <w:hyperlink r:id="rId12" w:history="1">
                              <w:r w:rsidR="00EC425E" w:rsidRPr="003551CF">
                                <w:rPr>
                                  <w:rStyle w:val="Hyperlink"/>
                                  <w:rFonts w:ascii="Arial" w:eastAsia="Times New Roman" w:hAnsi="Arial" w:cs="Arial"/>
                                </w:rPr>
                                <w:t>http://www.rdforum.nhs.uk/content/2018/03/26/nihr-portfolio-activity-positive-wider-impact-nhs-trusts-performance/</w:t>
                              </w:r>
                            </w:hyperlink>
                            <w:r w:rsidR="00EC425E">
                              <w:rPr>
                                <w:rFonts w:ascii="Arial" w:eastAsia="Times New Roman" w:hAnsi="Arial" w:cs="Arial"/>
                                <w:color w:val="1F1F1F"/>
                              </w:rPr>
                              <w:t xml:space="preserve"> </w:t>
                            </w:r>
                          </w:p>
                          <w:p w14:paraId="42984F72" w14:textId="77777777" w:rsidR="00EC425E" w:rsidRDefault="00EC425E" w:rsidP="00CC22CC">
                            <w:pPr>
                              <w:pStyle w:val="ListParagraph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952551" w14:textId="77777777" w:rsidR="00EC425E" w:rsidRDefault="00EC425E" w:rsidP="00EC42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D24ADF" w14:textId="77777777" w:rsidR="00EC425E" w:rsidRDefault="00EC425E" w:rsidP="00EC42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8F2C65" w14:textId="77777777" w:rsidR="00EC425E" w:rsidRPr="00EC425E" w:rsidRDefault="00EC425E" w:rsidP="00EC4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615869" w14:textId="77777777" w:rsidR="00BB22BA" w:rsidRPr="00C17C3E" w:rsidRDefault="00BB22BA" w:rsidP="00CC22CC">
                            <w:pPr>
                              <w:pStyle w:val="Body"/>
                              <w:ind w:left="720"/>
                              <w:rPr>
                                <w:rFonts w:ascii="Arial" w:eastAsia="Times New Roman" w:hAnsi="Arial" w:cs="Arial"/>
                                <w:color w:val="1F1F1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95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72.6pt;width:415pt;height:63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" filled="f">
                <v:path arrowok="t"/>
                <v:textbox>
                  <w:txbxContent>
                    <w:p w14:paraId="79C010BA" w14:textId="77777777" w:rsidR="00971643" w:rsidRPr="007D3046" w:rsidRDefault="00971643" w:rsidP="00971643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1F1F1F"/>
                        </w:rPr>
                      </w:pP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 xml:space="preserve">Jonker L, Fisher SJ. The correlation between National Health Service trusts’ clinical trial activity and both mortality rates and care quality commission ratings: a retrospective cross-sectional study. Public health. 2018 Apr </w:t>
                      </w:r>
                      <w:proofErr w:type="gramStart"/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1;157:1</w:t>
                      </w:r>
                      <w:proofErr w:type="gramEnd"/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-6</w:t>
                      </w:r>
                    </w:p>
                    <w:p w14:paraId="584E99D1" w14:textId="77777777" w:rsidR="00971643" w:rsidRDefault="0006578C" w:rsidP="00971643">
                      <w:pPr>
                        <w:pStyle w:val="ListParagraph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3" w:history="1">
                        <w:r w:rsidR="00971643" w:rsidRPr="007D304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https://www.ncbi.nlm.nih.gov/pubmed/29438805</w:t>
                        </w:r>
                      </w:hyperlink>
                      <w:r w:rsidR="00971643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\</w:t>
                      </w:r>
                    </w:p>
                    <w:p w14:paraId="23127CA8" w14:textId="77777777" w:rsidR="00971643" w:rsidRPr="007D3046" w:rsidRDefault="00971643" w:rsidP="00971643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Downing A, Morris EJ, Corrigan N et al. High hospital research participation and improved colorectal cancer survival outcomes: a population-based study. </w:t>
                      </w:r>
                      <w:r w:rsidRPr="007D3046">
                        <w:rPr>
                          <w:rFonts w:ascii="Arial" w:eastAsia="Times New Roman" w:hAnsi="Arial" w:cs="Arial"/>
                          <w:i/>
                          <w:iCs/>
                          <w:color w:val="1F1F1F"/>
                          <w:bdr w:val="none" w:sz="0" w:space="0" w:color="auto" w:frame="1"/>
                        </w:rPr>
                        <w:t>Gut</w:t>
                      </w: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, 2017;66:89-96.</w:t>
                      </w:r>
                    </w:p>
                    <w:p w14:paraId="17450F34" w14:textId="77777777" w:rsidR="00971643" w:rsidRPr="007D3046" w:rsidRDefault="0006578C" w:rsidP="0097164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4" w:history="1">
                        <w:r w:rsidR="00971643" w:rsidRPr="007D304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https://www.ncbi.nlm.nih.gov/pubmed/27797935</w:t>
                        </w:r>
                      </w:hyperlink>
                    </w:p>
                    <w:p w14:paraId="3E1C18F8" w14:textId="77777777" w:rsidR="00BB22BA" w:rsidRPr="007D3046" w:rsidRDefault="00BB22BA" w:rsidP="00CC22CC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spellStart"/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Ozdemir</w:t>
                      </w:r>
                      <w:proofErr w:type="spellEnd"/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 xml:space="preserve"> BA, </w:t>
                      </w:r>
                      <w:proofErr w:type="spellStart"/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Karthikesalingam</w:t>
                      </w:r>
                      <w:proofErr w:type="spellEnd"/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 xml:space="preserve"> A, Sinha S, et al. Research activity and the association with mortality. </w:t>
                      </w:r>
                      <w:proofErr w:type="spellStart"/>
                      <w:r w:rsidRPr="007D3046">
                        <w:rPr>
                          <w:rFonts w:ascii="Arial" w:eastAsia="Times New Roman" w:hAnsi="Arial" w:cs="Arial"/>
                          <w:i/>
                          <w:iCs/>
                          <w:color w:val="1F1F1F"/>
                          <w:bdr w:val="none" w:sz="0" w:space="0" w:color="auto" w:frame="1"/>
                        </w:rPr>
                        <w:t>PLoS</w:t>
                      </w:r>
                      <w:proofErr w:type="spellEnd"/>
                      <w:r w:rsidRPr="007D3046">
                        <w:rPr>
                          <w:rFonts w:ascii="Arial" w:eastAsia="Times New Roman" w:hAnsi="Arial" w:cs="Arial"/>
                          <w:i/>
                          <w:iCs/>
                          <w:color w:val="1F1F1F"/>
                          <w:bdr w:val="none" w:sz="0" w:space="0" w:color="auto" w:frame="1"/>
                        </w:rPr>
                        <w:t xml:space="preserve"> One</w:t>
                      </w: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, 2015;10:</w:t>
                      </w:r>
                    </w:p>
                    <w:p w14:paraId="56F6A4B4" w14:textId="77777777" w:rsidR="00BB22BA" w:rsidRPr="007D3046" w:rsidRDefault="0006578C" w:rsidP="00CC22CC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5" w:history="1">
                        <w:r w:rsidR="00BB22BA" w:rsidRPr="007D304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https://www.ncbi.nlm.nih.gov/pubmed/25719608</w:t>
                        </w:r>
                      </w:hyperlink>
                    </w:p>
                    <w:p w14:paraId="7C72996D" w14:textId="79C298E2" w:rsidR="00EC425E" w:rsidRPr="00EC425E" w:rsidRDefault="00BB22BA" w:rsidP="00EC425E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 xml:space="preserve">Boaz A, </w:t>
                      </w:r>
                      <w:proofErr w:type="spellStart"/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Hanney</w:t>
                      </w:r>
                      <w:proofErr w:type="spellEnd"/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 xml:space="preserve"> S, Jones T, &amp; Soper B. Does the engagement of clinicians and organisations in research improve healthcare performance: a three-stage review. </w:t>
                      </w:r>
                      <w:r w:rsidRPr="007D3046">
                        <w:rPr>
                          <w:rFonts w:ascii="Arial" w:eastAsia="Times New Roman" w:hAnsi="Arial" w:cs="Arial"/>
                          <w:i/>
                          <w:iCs/>
                          <w:color w:val="1F1F1F"/>
                          <w:bdr w:val="none" w:sz="0" w:space="0" w:color="auto" w:frame="1"/>
                        </w:rPr>
                        <w:t>BMJ open</w:t>
                      </w: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, 2015; 5:e009415.</w:t>
                      </w:r>
                      <w:r w:rsidRPr="007D3046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6" w:history="1">
                        <w:r w:rsidRPr="007D3046">
                          <w:rPr>
                            <w:rStyle w:val="Hyperlink"/>
                            <w:rFonts w:ascii="Arial" w:hAnsi="Arial" w:cs="Arial"/>
                          </w:rPr>
                          <w:t>https://www.ncbi.nlm.nih.gov/pubmed/26656023</w:t>
                        </w:r>
                      </w:hyperlink>
                    </w:p>
                    <w:p w14:paraId="108A6C28" w14:textId="77777777" w:rsidR="00971643" w:rsidRPr="00971643" w:rsidRDefault="00EC425E" w:rsidP="00971643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Jonker L, Fisher SJ. NHS Trusts’ clinical research activity and overall CQC performance–Is there a correlation? </w:t>
                      </w:r>
                      <w:r w:rsidRPr="007D3046">
                        <w:rPr>
                          <w:rFonts w:ascii="Arial" w:eastAsia="Times New Roman" w:hAnsi="Arial" w:cs="Arial"/>
                          <w:i/>
                          <w:iCs/>
                          <w:color w:val="1F1F1F"/>
                          <w:bdr w:val="none" w:sz="0" w:space="0" w:color="auto" w:frame="1"/>
                        </w:rPr>
                        <w:t>Public health</w:t>
                      </w: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 xml:space="preserve">, 2015; 129:1491-5. </w:t>
                      </w:r>
                      <w:hyperlink r:id="rId17" w:history="1">
                        <w:r w:rsidRPr="00BB22BA">
                          <w:rPr>
                            <w:rStyle w:val="Hyperlink"/>
                            <w:rFonts w:ascii="Arial" w:eastAsia="Times New Roman" w:hAnsi="Arial" w:cs="Arial"/>
                          </w:rPr>
                          <w:t>https://www.publichealthjrnl.com/article/S0033-3506(15)00286-3/fulltext</w:t>
                        </w:r>
                      </w:hyperlink>
                      <w:r w:rsidR="00971643" w:rsidRPr="00971643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 xml:space="preserve"> </w:t>
                      </w:r>
                    </w:p>
                    <w:p w14:paraId="3A2B9FBE" w14:textId="77777777" w:rsidR="00971643" w:rsidRPr="00971643" w:rsidRDefault="00971643" w:rsidP="00971643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Bennett WO, Bird JH, Burrows SA, Counter PR, &amp; Reddy VM. Does academic output correlate with better mortality rates in NHS trusts in England? </w:t>
                      </w:r>
                      <w:r w:rsidRPr="007D3046">
                        <w:rPr>
                          <w:rFonts w:ascii="Arial" w:eastAsia="Times New Roman" w:hAnsi="Arial" w:cs="Arial"/>
                          <w:i/>
                          <w:iCs/>
                          <w:color w:val="1F1F1F"/>
                          <w:bdr w:val="none" w:sz="0" w:space="0" w:color="auto" w:frame="1"/>
                        </w:rPr>
                        <w:t>Public Health</w:t>
                      </w: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, 2012;</w:t>
                      </w:r>
                      <w:proofErr w:type="gramStart"/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126</w:t>
                      </w:r>
                      <w:r w:rsidRPr="007D3046">
                        <w:rPr>
                          <w:rFonts w:ascii="Arial" w:eastAsia="Times New Roman" w:hAnsi="Arial" w:cs="Arial"/>
                          <w:i/>
                          <w:iCs/>
                          <w:color w:val="1F1F1F"/>
                          <w:bdr w:val="none" w:sz="0" w:space="0" w:color="auto" w:frame="1"/>
                        </w:rPr>
                        <w:t>:</w:t>
                      </w: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S</w:t>
                      </w:r>
                      <w:proofErr w:type="gramEnd"/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40-3.</w:t>
                      </w:r>
                      <w:r w:rsidRPr="00971643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 xml:space="preserve"> </w:t>
                      </w:r>
                    </w:p>
                    <w:p w14:paraId="38D80EC2" w14:textId="04B514D6" w:rsidR="00EC425E" w:rsidRPr="00971643" w:rsidRDefault="00971643" w:rsidP="00971643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Clarke, M., &amp; Loudon, K. (2011). Effects on patients of their healthcare practitioner’s or institution’s participation in clinical trials: a systematic review. </w:t>
                      </w:r>
                      <w:r w:rsidRPr="007D3046">
                        <w:rPr>
                          <w:rFonts w:ascii="Arial" w:eastAsia="Times New Roman" w:hAnsi="Arial" w:cs="Arial"/>
                          <w:i/>
                          <w:iCs/>
                          <w:color w:val="1F1F1F"/>
                          <w:bdr w:val="none" w:sz="0" w:space="0" w:color="auto" w:frame="1"/>
                        </w:rPr>
                        <w:t>Trials</w:t>
                      </w:r>
                      <w:r w:rsidRPr="007D3046">
                        <w:rPr>
                          <w:rFonts w:ascii="Arial" w:eastAsia="Times New Roman" w:hAnsi="Arial" w:cs="Arial"/>
                          <w:color w:val="1F1F1F"/>
                          <w:bdr w:val="none" w:sz="0" w:space="0" w:color="auto"/>
                        </w:rPr>
                        <w:t>, 12(1), 16.</w:t>
                      </w:r>
                    </w:p>
                    <w:p w14:paraId="30748C49" w14:textId="77777777" w:rsidR="00EC425E" w:rsidRDefault="00EC425E" w:rsidP="00EC425E">
                      <w:pPr>
                        <w:pStyle w:val="Body"/>
                        <w:rPr>
                          <w:rFonts w:ascii="Arial" w:eastAsia="Times New Roman" w:hAnsi="Arial" w:cs="Arial"/>
                          <w:color w:val="1F1F1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F1F1F"/>
                        </w:rPr>
                        <w:t>Also of interest: NIHR Portfolio activity: Is it having a positive wider impact on a NHS Trust’s performance? BLOG. Jonker, L and Fisher SJ, March 2018</w:t>
                      </w:r>
                    </w:p>
                    <w:p w14:paraId="53CE39D5" w14:textId="02368E9C" w:rsidR="00EC425E" w:rsidRPr="00EC425E" w:rsidRDefault="0006578C" w:rsidP="00EC425E">
                      <w:pPr>
                        <w:pStyle w:val="Body"/>
                        <w:rPr>
                          <w:rFonts w:ascii="Arial" w:eastAsia="Times New Roman" w:hAnsi="Arial" w:cs="Arial"/>
                          <w:color w:val="1F1F1F"/>
                        </w:rPr>
                      </w:pPr>
                      <w:hyperlink r:id="rId18" w:history="1">
                        <w:r w:rsidR="00EC425E" w:rsidRPr="003551CF">
                          <w:rPr>
                            <w:rStyle w:val="Hyperlink"/>
                            <w:rFonts w:ascii="Arial" w:eastAsia="Times New Roman" w:hAnsi="Arial" w:cs="Arial"/>
                          </w:rPr>
                          <w:t>http://www.rdforum.nhs.uk/content/2018/03/26/nihr-portfolio-activity-positive-wider-impact-nhs-trusts-performance/</w:t>
                        </w:r>
                      </w:hyperlink>
                      <w:r w:rsidR="00EC425E">
                        <w:rPr>
                          <w:rFonts w:ascii="Arial" w:eastAsia="Times New Roman" w:hAnsi="Arial" w:cs="Arial"/>
                          <w:color w:val="1F1F1F"/>
                        </w:rPr>
                        <w:t xml:space="preserve"> </w:t>
                      </w:r>
                    </w:p>
                    <w:p w14:paraId="42984F72" w14:textId="77777777" w:rsidR="00EC425E" w:rsidRDefault="00EC425E" w:rsidP="00CC22CC">
                      <w:pPr>
                        <w:pStyle w:val="ListParagraph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952551" w14:textId="77777777" w:rsidR="00EC425E" w:rsidRDefault="00EC425E" w:rsidP="00EC42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D24ADF" w14:textId="77777777" w:rsidR="00EC425E" w:rsidRDefault="00EC425E" w:rsidP="00EC42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8F2C65" w14:textId="77777777" w:rsidR="00EC425E" w:rsidRPr="00EC425E" w:rsidRDefault="00EC425E" w:rsidP="00EC4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615869" w14:textId="77777777" w:rsidR="00BB22BA" w:rsidRPr="00C17C3E" w:rsidRDefault="00BB22BA" w:rsidP="00CC22CC">
                      <w:pPr>
                        <w:pStyle w:val="Body"/>
                        <w:ind w:left="720"/>
                        <w:rPr>
                          <w:rFonts w:ascii="Arial" w:eastAsia="Times New Roman" w:hAnsi="Arial" w:cs="Arial"/>
                          <w:color w:val="1F1F1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B80" w:rsidRPr="003C2B80">
        <w:rPr>
          <w:rFonts w:ascii="Arial" w:eastAsia="Times New Roman" w:hAnsi="Arial" w:cs="Arial"/>
          <w:b/>
          <w:color w:val="1F1F1F"/>
          <w:sz w:val="32"/>
          <w:bdr w:val="none" w:sz="0" w:space="0" w:color="auto"/>
        </w:rPr>
        <w:t xml:space="preserve">References </w:t>
      </w:r>
      <w:r w:rsidR="003C2B80">
        <w:rPr>
          <w:rFonts w:ascii="Arial" w:eastAsia="Times New Roman" w:hAnsi="Arial" w:cs="Arial"/>
          <w:b/>
          <w:color w:val="1F1F1F"/>
          <w:sz w:val="32"/>
          <w:bdr w:val="none" w:sz="0" w:space="0" w:color="auto"/>
        </w:rPr>
        <w:t xml:space="preserve">for </w:t>
      </w:r>
      <w:r w:rsidR="003C2B80" w:rsidRPr="003C2B80">
        <w:rPr>
          <w:rFonts w:ascii="Arial" w:eastAsia="Times New Roman" w:hAnsi="Arial" w:cs="Arial"/>
          <w:b/>
          <w:color w:val="1F1F1F"/>
          <w:sz w:val="32"/>
          <w:bdr w:val="none" w:sz="0" w:space="0" w:color="auto"/>
        </w:rPr>
        <w:t>evidencing how being research-active improves patient outcomes</w:t>
      </w:r>
      <w:r w:rsidR="00E4309A">
        <w:rPr>
          <w:rFonts w:ascii="Arial" w:eastAsia="Times New Roman" w:hAnsi="Arial" w:cs="Arial"/>
          <w:b/>
          <w:color w:val="1F1F1F"/>
          <w:sz w:val="32"/>
          <w:bdr w:val="none" w:sz="0" w:space="0" w:color="auto"/>
        </w:rPr>
        <w:t xml:space="preserve"> </w:t>
      </w:r>
      <w:r w:rsidR="00E4309A" w:rsidRPr="00E4309A">
        <w:rPr>
          <w:rFonts w:ascii="Arial" w:eastAsia="Times New Roman" w:hAnsi="Arial" w:cs="Arial"/>
          <w:color w:val="1F1F1F"/>
          <w:sz w:val="32"/>
          <w:bdr w:val="none" w:sz="0" w:space="0" w:color="auto"/>
        </w:rPr>
        <w:t>(October 2018)</w:t>
      </w:r>
    </w:p>
    <w:p w14:paraId="14700524" w14:textId="77777777" w:rsidR="003E5BE9" w:rsidRDefault="003E5BE9" w:rsidP="00EC425E">
      <w:pPr>
        <w:pStyle w:val="Body"/>
        <w:jc w:val="both"/>
        <w:rPr>
          <w:rFonts w:ascii="Arial" w:eastAsia="Times New Roman" w:hAnsi="Arial" w:cs="Arial"/>
          <w:color w:val="1F1F1F"/>
          <w:sz w:val="32"/>
          <w:bdr w:val="none" w:sz="0" w:space="0" w:color="auto"/>
        </w:rPr>
      </w:pPr>
    </w:p>
    <w:p w14:paraId="6A3739B1" w14:textId="6B9D8123" w:rsidR="003E5BE9" w:rsidRPr="003E5BE9" w:rsidRDefault="003E5BE9" w:rsidP="00EC425E">
      <w:pPr>
        <w:pStyle w:val="Body"/>
        <w:jc w:val="both"/>
        <w:rPr>
          <w:rFonts w:ascii="Arial" w:eastAsia="Times New Roman" w:hAnsi="Arial" w:cs="Arial"/>
          <w:b/>
          <w:color w:val="1F1F1F"/>
          <w:sz w:val="32"/>
          <w:bdr w:val="none" w:sz="0" w:space="0" w:color="auto"/>
        </w:rPr>
      </w:pPr>
      <w:r w:rsidRPr="003E5BE9">
        <w:rPr>
          <w:rFonts w:ascii="Arial" w:eastAsia="Times New Roman" w:hAnsi="Arial" w:cs="Arial"/>
          <w:b/>
          <w:color w:val="1F1F1F"/>
          <w:sz w:val="32"/>
          <w:bdr w:val="none" w:sz="0" w:space="0" w:color="auto"/>
        </w:rPr>
        <w:t>CQC Inspection Framework: NHS Trusts and Foundation Trusts</w:t>
      </w:r>
    </w:p>
    <w:p w14:paraId="63AD30F0" w14:textId="518E1FF1" w:rsidR="003E5BE9" w:rsidRDefault="0006578C" w:rsidP="00EC425E">
      <w:pPr>
        <w:pStyle w:val="Body"/>
        <w:jc w:val="both"/>
        <w:rPr>
          <w:rFonts w:ascii="Arial" w:eastAsia="Times New Roman" w:hAnsi="Arial" w:cs="Arial"/>
          <w:color w:val="1F1F1F"/>
          <w:sz w:val="32"/>
          <w:bdr w:val="none" w:sz="0" w:space="0" w:color="auto"/>
        </w:rPr>
      </w:pPr>
      <w:hyperlink r:id="rId19" w:history="1">
        <w:r w:rsidR="003E5BE9" w:rsidRPr="003551CF">
          <w:rPr>
            <w:rStyle w:val="Hyperlink"/>
            <w:rFonts w:ascii="Arial" w:eastAsia="Times New Roman" w:hAnsi="Arial" w:cs="Arial"/>
            <w:sz w:val="32"/>
            <w:bdr w:val="none" w:sz="0" w:space="0" w:color="auto"/>
          </w:rPr>
          <w:t>https://www.cqc.org.uk/sites/default/files/20180921_9001100_trust-wide_well-led_inspection_framework_v5.pdf</w:t>
        </w:r>
      </w:hyperlink>
    </w:p>
    <w:p w14:paraId="7F3AA13C" w14:textId="77777777" w:rsidR="008B3322" w:rsidRDefault="008B3322" w:rsidP="00EC425E">
      <w:pPr>
        <w:pStyle w:val="Body"/>
        <w:jc w:val="both"/>
        <w:rPr>
          <w:rFonts w:ascii="Arial" w:eastAsia="Times New Roman" w:hAnsi="Arial" w:cs="Arial"/>
          <w:color w:val="1F1F1F"/>
          <w:sz w:val="32"/>
          <w:bdr w:val="none" w:sz="0" w:space="0" w:color="auto"/>
        </w:rPr>
      </w:pPr>
    </w:p>
    <w:p w14:paraId="55BC2AFC" w14:textId="2F7F65E0" w:rsidR="003E5BE9" w:rsidRPr="008B3322" w:rsidRDefault="008B3322" w:rsidP="00EC425E">
      <w:pPr>
        <w:pStyle w:val="Body"/>
        <w:jc w:val="both"/>
        <w:rPr>
          <w:rFonts w:ascii="Arial" w:eastAsia="Times New Roman" w:hAnsi="Arial" w:cs="Arial"/>
          <w:b/>
          <w:color w:val="1F1F1F"/>
          <w:sz w:val="32"/>
          <w:bdr w:val="none" w:sz="0" w:space="0" w:color="auto"/>
        </w:rPr>
      </w:pPr>
      <w:r w:rsidRPr="008B3322">
        <w:rPr>
          <w:rFonts w:ascii="Arial" w:eastAsia="Times New Roman" w:hAnsi="Arial" w:cs="Arial"/>
          <w:b/>
          <w:color w:val="1F1F1F"/>
          <w:sz w:val="32"/>
          <w:bdr w:val="none" w:sz="0" w:space="0" w:color="auto"/>
        </w:rPr>
        <w:t>W8 p22-24</w:t>
      </w:r>
    </w:p>
    <w:p w14:paraId="239DFE89" w14:textId="77777777" w:rsidR="008B3322" w:rsidRPr="008B3322" w:rsidRDefault="008B3322" w:rsidP="008B3322">
      <w:pPr>
        <w:spacing w:after="0" w:line="24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8B3322">
        <w:rPr>
          <w:rFonts w:ascii="Arial" w:eastAsia="Times New Roman" w:hAnsi="Arial" w:cs="Arial"/>
          <w:sz w:val="36"/>
          <w:szCs w:val="20"/>
        </w:rPr>
        <w:t>Are there robust systems and processes for learning, continuous improvement and innovation?</w:t>
      </w:r>
    </w:p>
    <w:p w14:paraId="063B47C6" w14:textId="77777777" w:rsidR="003E5BE9" w:rsidRPr="00EC425E" w:rsidRDefault="003E5BE9" w:rsidP="00EC425E">
      <w:pPr>
        <w:pStyle w:val="Body"/>
        <w:jc w:val="both"/>
        <w:rPr>
          <w:rFonts w:ascii="Arial" w:eastAsia="Times New Roman" w:hAnsi="Arial" w:cs="Arial"/>
          <w:b/>
          <w:color w:val="1F1F1F"/>
          <w:sz w:val="32"/>
          <w:bdr w:val="none" w:sz="0" w:space="0" w:color="auto"/>
        </w:rPr>
      </w:pPr>
    </w:p>
    <w:sectPr w:rsidR="003E5BE9" w:rsidRPr="00EC425E" w:rsidSect="00ED7CE0">
      <w:headerReference w:type="defaul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A2FE" w14:textId="77777777" w:rsidR="0006578C" w:rsidRDefault="0006578C" w:rsidP="007D3046">
      <w:pPr>
        <w:spacing w:after="0" w:line="240" w:lineRule="auto"/>
      </w:pPr>
      <w:r>
        <w:separator/>
      </w:r>
    </w:p>
  </w:endnote>
  <w:endnote w:type="continuationSeparator" w:id="0">
    <w:p w14:paraId="750AFFB7" w14:textId="77777777" w:rsidR="0006578C" w:rsidRDefault="0006578C" w:rsidP="007D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ADA0" w14:textId="77777777" w:rsidR="0006578C" w:rsidRDefault="0006578C" w:rsidP="007D3046">
      <w:pPr>
        <w:spacing w:after="0" w:line="240" w:lineRule="auto"/>
      </w:pPr>
      <w:r>
        <w:separator/>
      </w:r>
    </w:p>
  </w:footnote>
  <w:footnote w:type="continuationSeparator" w:id="0">
    <w:p w14:paraId="21E31C87" w14:textId="77777777" w:rsidR="0006578C" w:rsidRDefault="0006578C" w:rsidP="007D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D2A9" w14:textId="2B276777" w:rsidR="00BB22BA" w:rsidRDefault="00BB22BA" w:rsidP="003C2B80">
    <w:pPr>
      <w:pStyle w:val="Header"/>
      <w:ind w:left="6480"/>
    </w:pPr>
    <w:r>
      <w:rPr>
        <w:noProof/>
        <w:lang w:val="en-US"/>
      </w:rPr>
      <w:drawing>
        <wp:inline distT="0" distB="0" distL="0" distR="0" wp14:anchorId="21B90B63" wp14:editId="57EE3C6F">
          <wp:extent cx="1981200" cy="902208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ru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EB8"/>
    <w:multiLevelType w:val="hybridMultilevel"/>
    <w:tmpl w:val="4C78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76E0"/>
    <w:multiLevelType w:val="hybridMultilevel"/>
    <w:tmpl w:val="847A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16E9"/>
    <w:multiLevelType w:val="hybridMultilevel"/>
    <w:tmpl w:val="36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08"/>
    <w:rsid w:val="0006578C"/>
    <w:rsid w:val="003C2B80"/>
    <w:rsid w:val="003E5BE9"/>
    <w:rsid w:val="003F04B0"/>
    <w:rsid w:val="00460908"/>
    <w:rsid w:val="00732FC0"/>
    <w:rsid w:val="007D3046"/>
    <w:rsid w:val="008B3322"/>
    <w:rsid w:val="00971643"/>
    <w:rsid w:val="00A2039C"/>
    <w:rsid w:val="00BB22BA"/>
    <w:rsid w:val="00CC22CC"/>
    <w:rsid w:val="00E4309A"/>
    <w:rsid w:val="00EC425E"/>
    <w:rsid w:val="00E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AD2CF"/>
  <w14:defaultImageDpi w14:val="300"/>
  <w15:docId w15:val="{75EE7F20-94FF-9F40-961C-DBC57C55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2C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6090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Helvetica" w:hAnsi="Helvetica" w:cs="Helvetica"/>
      <w:color w:val="000000"/>
      <w:bdr w:val="nil"/>
      <w:lang w:val="en-GB"/>
    </w:rPr>
  </w:style>
  <w:style w:type="character" w:styleId="Hyperlink">
    <w:name w:val="Hyperlink"/>
    <w:basedOn w:val="DefaultParagraphFont"/>
    <w:uiPriority w:val="99"/>
    <w:unhideWhenUsed/>
    <w:rsid w:val="00CC22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46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46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B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80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797935" TargetMode="External"/><Relationship Id="rId13" Type="http://schemas.openxmlformats.org/officeDocument/2006/relationships/hyperlink" Target="https://www.ncbi.nlm.nih.gov/pubmed/29438805" TargetMode="External"/><Relationship Id="rId18" Type="http://schemas.openxmlformats.org/officeDocument/2006/relationships/hyperlink" Target="http://www.rdforum.nhs.uk/content/2018/03/26/nihr-portfolio-activity-positive-wider-impact-nhs-trusts-performanc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ubmed/29438805" TargetMode="External"/><Relationship Id="rId12" Type="http://schemas.openxmlformats.org/officeDocument/2006/relationships/hyperlink" Target="http://www.rdforum.nhs.uk/content/2018/03/26/nihr-portfolio-activity-positive-wider-impact-nhs-trusts-performance/" TargetMode="External"/><Relationship Id="rId17" Type="http://schemas.openxmlformats.org/officeDocument/2006/relationships/hyperlink" Target="https://www.publichealthjrnl.com/article/S0033-3506(15)00286-3/full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665602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healthjrnl.com/article/S0033-3506(15)00286-3/fullte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5719608" TargetMode="External"/><Relationship Id="rId10" Type="http://schemas.openxmlformats.org/officeDocument/2006/relationships/hyperlink" Target="https://www.ncbi.nlm.nih.gov/pubmed/26656023" TargetMode="External"/><Relationship Id="rId19" Type="http://schemas.openxmlformats.org/officeDocument/2006/relationships/hyperlink" Target="https://www.cqc.org.uk/sites/default/files/20180921_9001100_trust-wide_well-led_inspection_framework_v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5719608" TargetMode="External"/><Relationship Id="rId14" Type="http://schemas.openxmlformats.org/officeDocument/2006/relationships/hyperlink" Target="https://www.ncbi.nlm.nih.gov/pubmed/2779793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Greenwood</dc:creator>
  <cp:keywords/>
  <dc:description/>
  <cp:lastModifiedBy>ADRIAN PARROTT</cp:lastModifiedBy>
  <cp:revision>2</cp:revision>
  <dcterms:created xsi:type="dcterms:W3CDTF">2018-10-31T13:52:00Z</dcterms:created>
  <dcterms:modified xsi:type="dcterms:W3CDTF">2018-10-31T13:52:00Z</dcterms:modified>
</cp:coreProperties>
</file>